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6550" w:type="dxa"/>
        <w:gridCol w:w="7390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65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73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2026-2028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2023-2026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Subvenciones. Actualización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2023-2026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2022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Ayuda a Ganaderos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2022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2021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de Ayudas Reinicia II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2021</w:t>
            </w:r>
          </w:p>
        </w:tc>
        <w:tc>
          <w:tcPr>
            <w:tcW w:w="73900" w:type="pct"/>
          </w:tcPr>
          <w:p>
            <w:pPr/>
            <w:r>
              <w:rPr/>
              <w:t xml:space="preserve">Bases y Aprobación Plan Ayudas Reinicia II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2020-2023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de Ayudas Reinicia 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</w:t>
            </w:r>
          </w:p>
        </w:tc>
        <w:tc>
          <w:tcPr>
            <w:tcW w:w="73900" w:type="pct"/>
          </w:tcPr>
          <w:p>
            <w:pPr/>
            <w:r>
              <w:rPr/>
              <w:t xml:space="preserve">Bases y Aprobación Plan Ayudas Reinicia I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2026-06-16T21:32:36+00:00</dcterms:created>
  <dcterms:modified xsi:type="dcterms:W3CDTF">2026-06-16T21:32:36+00:00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