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50" w:type="dxa"/>
        <w:gridCol w:w="19895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50" w:type="pct"/>
          </w:tcPr>
          <w:p>
            <w:pPr/>
            <w:r>
              <w:rPr>
                <w:b w:val="1"/>
                <w:bCs w:val="1"/>
              </w:rPr>
              <w:t xml:space="preserve">Categoría</w:t>
            </w:r>
          </w:p>
        </w:tc>
        <w:tc>
          <w:tcPr>
            <w:tcW w:w="198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989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del Apartado 2.A.4 "Comercio Escaparate" del uso global comercial de la normativa urbanística del P.G.O.U.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Plan Parcial SUP-3 Arroyo Espino, condiciones de Ordenación pormenorizada de la Ordenanza Bloque Abiero "BA" para VPPB en la Parcela VP-IS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Proyecto de Urbanización</w:t>
            </w:r>
          </w:p>
        </w:tc>
        <w:tc>
          <w:tcPr>
            <w:tcW w:w="198950" w:type="pct"/>
          </w:tcPr>
          <w:p>
            <w:pPr/>
            <w:r>
              <w:rPr/>
              <w:t xml:space="preserve">Aprobación definitiva del Proyecto de Urbanización AOE-2 Camino de la Dehesa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2026-09-15T11:12:46+00:00</dcterms:created>
  <dcterms:modified xsi:type="dcterms:W3CDTF">2026-09-15T11:12:46+00:00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