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0100" w:type="dxa"/>
        <w:gridCol w:w="346850" w:type="dxa"/>
        <w:gridCol w:w="29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0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46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9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60100" w:type="pct"/>
          </w:tcPr>
          <w:p>
            <w:pPr/>
            <w:r>
              <w:rPr/>
              <w:t xml:space="preserve">23-11-2022</w:t>
            </w:r>
          </w:p>
        </w:tc>
        <w:tc>
          <w:tcPr>
            <w:tcW w:w="346850" w:type="pct"/>
          </w:tcPr>
          <w:p>
            <w:pPr/>
            <w:r>
              <w:rPr/>
              <w:t xml:space="preserve">Acuerdo adopción medidas revisión excepcional de precios</w:t>
            </w:r>
          </w:p>
        </w:tc>
        <w:tc>
          <w:tcPr>
            <w:tcW w:w="29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2026-06-16T22:57:28+00:00</dcterms:created>
  <dcterms:modified xsi:type="dcterms:W3CDTF">2026-06-16T22:57:28+00:00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